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line="288" w:lineRule="atLeast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Даны разъяснения по вопросу уменьшения размера платы за ненадлежащее оказание коммунальных услуг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 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Письмом Минстроя России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от 05.05.2026 N 27051-ДН/04 О перерасчете за превышение допустимого перерыва подачи горячей воды </w:t>
      </w:r>
      <w:r>
        <w:rPr>
          <w:rFonts w:ascii="Times New Roman" w:hAnsi="Times New Roman"/>
          <w:b w:val="0"/>
          <w:sz w:val="28"/>
        </w:rPr>
        <w:t>сообщается, что п</w:t>
      </w:r>
      <w:r>
        <w:rPr>
          <w:rFonts w:ascii="Times New Roman" w:hAnsi="Times New Roman"/>
          <w:b w:val="0"/>
          <w:sz w:val="28"/>
        </w:rPr>
        <w:t>равила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РФ от 6 мая 2011 г. N 354 (далее - Правила N 354).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В силу абзаца первого пункта 98 Правил N 354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(или) с перерывами, превышающими установленную продолжительность,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Как следует из приведенных положений, в случае нарушения качества коммунальной услуги уменьшению подлежит размер платы за такую коммунальную услугу исключительно за расчетный период (календарный месяц).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Абзацем вторым пункта 98 Правил N 354 установлено, что требования к качеству коммунальных услуг, допустимые отступления от этих требований и допустимая продолжительность перерывов предоставления коммунальных услуг, а также условия и порядок изменения размера платы за коммунальные услуги при предоставлении коммунальных услуг ненадлежащего качества и (или) с перерывами, превышающими установленную продолжительность, приведены в приложении N 1 к Правилам N 354.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Порядок уменьшения размера платы за коммунальную услугу горячего водоснабжения установлен разделом II (пункты с 4 по 7) приложения N 1 к Правилам N 354.</w:t>
      </w:r>
    </w:p>
    <w:p w14:paraId="0D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Жилищное законодательство не устанавливает зависимости допустимой продолжительности перерыва подачи горячей воды от конструктивных особенностей внутридомовой системы горячего водоснабжения.</w:t>
      </w:r>
    </w:p>
    <w:p w14:paraId="0E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F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10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3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2026-05-21T11:32:51Z</dcterms:modified>
</cp:coreProperties>
</file>